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17" w:rsidRDefault="00D272C9" w:rsidP="00D272C9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55</w:t>
      </w:r>
    </w:p>
    <w:p w:rsidR="00C65E93" w:rsidRPr="00C65E93" w:rsidRDefault="00C65E93" w:rsidP="00C65E93">
      <w:pPr>
        <w:ind w:right="1133"/>
        <w:jc w:val="center"/>
        <w:rPr>
          <w:b/>
          <w:sz w:val="28"/>
          <w:szCs w:val="28"/>
        </w:rPr>
      </w:pPr>
      <w:r w:rsidRPr="00C65E93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SAN GIROLAMO MIANI”</w:t>
      </w:r>
    </w:p>
    <w:p w:rsidR="00D272C9" w:rsidRPr="00C65E93" w:rsidRDefault="00C65E93" w:rsidP="00C65E93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CONTRIBUTO ALLA CONOSCENZA </w:t>
      </w:r>
      <w:r w:rsidRPr="00C65E93">
        <w:rPr>
          <w:b/>
          <w:sz w:val="28"/>
          <w:szCs w:val="28"/>
        </w:rPr>
        <w:t>DELLA P</w:t>
      </w:r>
      <w:r>
        <w:rPr>
          <w:b/>
          <w:sz w:val="28"/>
          <w:szCs w:val="28"/>
        </w:rPr>
        <w:t>RERIFORMA CATTOLICA</w:t>
      </w:r>
    </w:p>
    <w:p w:rsidR="00D272C9" w:rsidRDefault="00D272C9" w:rsidP="00D272C9">
      <w:pPr>
        <w:ind w:right="1133"/>
        <w:jc w:val="both"/>
        <w:rPr>
          <w:sz w:val="28"/>
          <w:szCs w:val="28"/>
        </w:rPr>
      </w:pPr>
    </w:p>
    <w:p w:rsidR="00D272C9" w:rsidRPr="00C65E93" w:rsidRDefault="00D272C9" w:rsidP="00D272C9">
      <w:pPr>
        <w:ind w:right="1133"/>
        <w:jc w:val="both"/>
        <w:rPr>
          <w:b/>
          <w:sz w:val="28"/>
          <w:szCs w:val="28"/>
          <w:u w:val="single"/>
        </w:rPr>
      </w:pPr>
      <w:r w:rsidRPr="00C65E93">
        <w:rPr>
          <w:b/>
          <w:sz w:val="28"/>
          <w:szCs w:val="28"/>
          <w:u w:val="single"/>
        </w:rPr>
        <w:t>3. Girola</w:t>
      </w:r>
      <w:r w:rsidR="0076382B">
        <w:rPr>
          <w:b/>
          <w:sz w:val="28"/>
          <w:szCs w:val="28"/>
          <w:u w:val="single"/>
        </w:rPr>
        <w:t>mo</w:t>
      </w:r>
      <w:r w:rsidRPr="00C65E93">
        <w:rPr>
          <w:b/>
          <w:sz w:val="28"/>
          <w:szCs w:val="28"/>
          <w:u w:val="single"/>
        </w:rPr>
        <w:t xml:space="preserve"> Castelnuov</w:t>
      </w:r>
      <w:r w:rsidR="0076382B">
        <w:rPr>
          <w:b/>
          <w:sz w:val="28"/>
          <w:szCs w:val="28"/>
          <w:u w:val="single"/>
        </w:rPr>
        <w:t>o</w:t>
      </w:r>
      <w:r w:rsidRPr="00C65E93">
        <w:rPr>
          <w:b/>
          <w:sz w:val="28"/>
          <w:szCs w:val="28"/>
          <w:u w:val="single"/>
        </w:rPr>
        <w:t xml:space="preserve"> (151</w:t>
      </w:r>
      <w:r w:rsidR="0076382B">
        <w:rPr>
          <w:b/>
          <w:sz w:val="28"/>
          <w:szCs w:val="28"/>
          <w:u w:val="single"/>
        </w:rPr>
        <w:t>1</w:t>
      </w:r>
      <w:r w:rsidRPr="00C65E93">
        <w:rPr>
          <w:b/>
          <w:sz w:val="28"/>
          <w:szCs w:val="28"/>
          <w:u w:val="single"/>
        </w:rPr>
        <w:t xml:space="preserve"> ).</w:t>
      </w:r>
    </w:p>
    <w:p w:rsidR="00D272C9" w:rsidRPr="00D272C9" w:rsidRDefault="00D272C9" w:rsidP="00D272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72C9">
        <w:rPr>
          <w:sz w:val="28"/>
          <w:szCs w:val="28"/>
        </w:rPr>
        <w:t>La supplica, presentata a metà novembre, incontrò varie difficoltà.</w:t>
      </w:r>
    </w:p>
    <w:p w:rsidR="00D272C9" w:rsidRPr="00D272C9" w:rsidRDefault="00D272C9" w:rsidP="00D272C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72C9">
        <w:rPr>
          <w:sz w:val="28"/>
          <w:szCs w:val="28"/>
        </w:rPr>
        <w:t>Posta dai Consiglieri una prima volta in Maggior Consiglio il</w:t>
      </w:r>
      <w:r>
        <w:rPr>
          <w:sz w:val="28"/>
          <w:szCs w:val="28"/>
        </w:rPr>
        <w:t xml:space="preserve"> </w:t>
      </w:r>
      <w:r w:rsidRPr="00D272C9">
        <w:rPr>
          <w:sz w:val="28"/>
          <w:szCs w:val="28"/>
        </w:rPr>
        <w:t>27 novembre, data lettura di una delibera del 6 ottobre 1450, con</w:t>
      </w:r>
      <w:r>
        <w:rPr>
          <w:sz w:val="28"/>
          <w:szCs w:val="28"/>
        </w:rPr>
        <w:t xml:space="preserve"> </w:t>
      </w:r>
      <w:r w:rsidRPr="00D272C9">
        <w:rPr>
          <w:sz w:val="28"/>
          <w:szCs w:val="28"/>
        </w:rPr>
        <w:t>la quale si tendeva ad abolire la concessione di castellanie per</w:t>
      </w:r>
      <w:r>
        <w:rPr>
          <w:sz w:val="28"/>
          <w:szCs w:val="28"/>
        </w:rPr>
        <w:t xml:space="preserve"> </w:t>
      </w:r>
    </w:p>
    <w:p w:rsidR="00D272C9" w:rsidRDefault="00D272C9" w:rsidP="00D272C9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56</w:t>
      </w:r>
    </w:p>
    <w:p w:rsidR="009D3E92" w:rsidRPr="009D3E92" w:rsidRDefault="009D3E92" w:rsidP="009D3E92">
      <w:pPr>
        <w:ind w:right="1133"/>
        <w:jc w:val="both"/>
        <w:rPr>
          <w:sz w:val="28"/>
          <w:szCs w:val="28"/>
        </w:rPr>
      </w:pPr>
      <w:r w:rsidRPr="009D3E92">
        <w:rPr>
          <w:sz w:val="28"/>
          <w:szCs w:val="28"/>
        </w:rPr>
        <w:t>grazia, si produssero però anche dei precedenti decreti nei quali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non ci si era attenuti alla norma. Anche i capi dei “quaranta” si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unirono alla richiesta che fu mes</w:t>
      </w:r>
      <w:r w:rsidR="000D7373">
        <w:rPr>
          <w:sz w:val="28"/>
          <w:szCs w:val="28"/>
        </w:rPr>
        <w:t>sa ai voti. Nella prima votazio</w:t>
      </w:r>
      <w:r w:rsidRPr="009D3E92">
        <w:rPr>
          <w:sz w:val="28"/>
          <w:szCs w:val="28"/>
        </w:rPr>
        <w:t>ne, pur avendo ottenuto la maggioranza dei suffragi, non passò,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non avendo raggiunto il minimo richiesto di due terzi: 2 voti non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validi, 579 contrari, 817 favorevoli. Neppure passò alla seconda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votazione: 3 voti non validi, 687 no, 772 sì. Fu rinviata perciò ad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altra seduta e il Sanudo, che riferisce queste notizie, chiosa: “et</w:t>
      </w:r>
      <w:r w:rsidR="000D7373">
        <w:rPr>
          <w:sz w:val="28"/>
          <w:szCs w:val="28"/>
        </w:rPr>
        <w:t xml:space="preserve"> </w:t>
      </w:r>
      <w:r w:rsidRPr="009D3E92">
        <w:rPr>
          <w:sz w:val="28"/>
          <w:szCs w:val="28"/>
        </w:rPr>
        <w:t>fo ben fato. Fo riscatà senza pagar taja"</w:t>
      </w:r>
      <w:r w:rsidR="000D7373">
        <w:rPr>
          <w:rStyle w:val="Rimandonotaapidipagina"/>
          <w:sz w:val="28"/>
          <w:szCs w:val="28"/>
        </w:rPr>
        <w:footnoteReference w:id="1"/>
      </w:r>
      <w:r w:rsidRPr="009D3E92">
        <w:rPr>
          <w:sz w:val="28"/>
          <w:szCs w:val="28"/>
        </w:rPr>
        <w:t>.</w:t>
      </w:r>
    </w:p>
    <w:p w:rsidR="009D3E92" w:rsidRPr="009D3E92" w:rsidRDefault="000D7373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3E92" w:rsidRPr="009D3E92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9D3E92" w:rsidRPr="009D3E92">
        <w:rPr>
          <w:sz w:val="28"/>
          <w:szCs w:val="28"/>
        </w:rPr>
        <w:t>8 dicembre la supplica venne nuovamente presentata in Maggior Consiglio, con la richiesta ridotta a “</w:t>
      </w:r>
      <w:r>
        <w:rPr>
          <w:sz w:val="28"/>
          <w:szCs w:val="28"/>
        </w:rPr>
        <w:t>5</w:t>
      </w:r>
      <w:r w:rsidR="009D3E92" w:rsidRPr="009D3E92">
        <w:rPr>
          <w:sz w:val="28"/>
          <w:szCs w:val="28"/>
        </w:rPr>
        <w:t xml:space="preserve"> reggimenti” soltanto;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ancora due votazioni senza esito: 4 voti non validi, 413 no, 731 s</w:t>
      </w:r>
      <w:r>
        <w:rPr>
          <w:sz w:val="28"/>
          <w:szCs w:val="28"/>
        </w:rPr>
        <w:t xml:space="preserve">ì </w:t>
      </w:r>
      <w:r w:rsidR="009D3E92" w:rsidRPr="009D3E92">
        <w:rPr>
          <w:sz w:val="28"/>
          <w:szCs w:val="28"/>
        </w:rPr>
        <w:t>nella prima votazione; 2 non validi, 468 no, 777 sì nella seconda.</w:t>
      </w:r>
    </w:p>
    <w:p w:rsidR="009D3E92" w:rsidRPr="009D3E92" w:rsidRDefault="000D7373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3E92" w:rsidRPr="009D3E92">
        <w:rPr>
          <w:sz w:val="28"/>
          <w:szCs w:val="28"/>
        </w:rPr>
        <w:t>Il 22 dicembre in una terza seduta si cercò di aggirare lo scoglio proponendo che la questione fosse discussa in senato, senza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tener conto del decreto del 1450 e poi, se l</w:t>
      </w:r>
      <w:r>
        <w:rPr>
          <w:sz w:val="28"/>
          <w:szCs w:val="28"/>
        </w:rPr>
        <w:t>’</w:t>
      </w:r>
      <w:r w:rsidR="009D3E92" w:rsidRPr="009D3E92">
        <w:rPr>
          <w:sz w:val="28"/>
          <w:szCs w:val="28"/>
        </w:rPr>
        <w:t>esito fosse stato favorevole, venisse nuovamente votata in Maggior Consiglio. La proposta fu accettata: 1 voto non valido, 508 no, 1170 sì</w:t>
      </w:r>
      <w:r>
        <w:rPr>
          <w:rStyle w:val="Rimandonotaapidipagina"/>
          <w:sz w:val="28"/>
          <w:szCs w:val="28"/>
        </w:rPr>
        <w:footnoteReference w:id="2"/>
      </w:r>
      <w:r w:rsidR="009D3E92" w:rsidRPr="009D3E92">
        <w:rPr>
          <w:sz w:val="28"/>
          <w:szCs w:val="28"/>
        </w:rPr>
        <w:t>.</w:t>
      </w:r>
    </w:p>
    <w:p w:rsidR="009D3E92" w:rsidRPr="009D3E92" w:rsidRDefault="000D7373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D3E92" w:rsidRPr="009D3E92">
        <w:rPr>
          <w:sz w:val="28"/>
          <w:szCs w:val="28"/>
        </w:rPr>
        <w:t>Il giorno seguente, in Senato, la supplica fu approvata: 70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voti contrari, 117 favorevoli. Fu steso il decreto, nel quale, dopo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aver ricordato i motivi della concessione: “virilissima” difesa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della Scala, ferimento e prigionia, se ne fissavano con precisione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i termini: “sia concessa la castellania del castel di Quer per cinque rezimenti, cum li modi et utilità consuete, et possi substituir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per tutto o parte de dicto tempo uno de suoi fratelli in loco suo;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qual habbi a fare continuo resi</w:t>
      </w:r>
      <w:r>
        <w:rPr>
          <w:sz w:val="28"/>
          <w:szCs w:val="28"/>
        </w:rPr>
        <w:t>dentia</w:t>
      </w:r>
      <w:r w:rsidR="009D3E92" w:rsidRPr="009D3E92">
        <w:rPr>
          <w:sz w:val="28"/>
          <w:szCs w:val="28"/>
        </w:rPr>
        <w:t xml:space="preserve"> cum questa espressa condition, che qual de essi fratelli serà a dicto governo, non possi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esser electo in alcun rezimento over officio, si dentro, come de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fuora, per el tempo el starà“</w:t>
      </w:r>
      <w:r>
        <w:rPr>
          <w:rStyle w:val="Rimandonotaapidipagina"/>
          <w:sz w:val="28"/>
          <w:szCs w:val="28"/>
        </w:rPr>
        <w:footnoteReference w:id="3"/>
      </w:r>
      <w:r w:rsidR="009D3E92" w:rsidRPr="009D3E92">
        <w:rPr>
          <w:sz w:val="28"/>
          <w:szCs w:val="28"/>
        </w:rPr>
        <w:t>.</w:t>
      </w:r>
    </w:p>
    <w:p w:rsidR="009D3E92" w:rsidRDefault="009D3E92" w:rsidP="009D3E92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57</w:t>
      </w:r>
    </w:p>
    <w:p w:rsidR="009D3E92" w:rsidRPr="009D3E92" w:rsidRDefault="009D3E92" w:rsidP="009D3E92">
      <w:pPr>
        <w:ind w:right="1133"/>
        <w:jc w:val="both"/>
        <w:rPr>
          <w:sz w:val="28"/>
          <w:szCs w:val="28"/>
        </w:rPr>
      </w:pPr>
      <w:r w:rsidRPr="009D3E92">
        <w:rPr>
          <w:sz w:val="28"/>
          <w:szCs w:val="28"/>
        </w:rPr>
        <w:t>Il 24 dicembre il Maggior Consi</w:t>
      </w:r>
      <w:r w:rsidR="00C65E93">
        <w:rPr>
          <w:sz w:val="28"/>
          <w:szCs w:val="28"/>
        </w:rPr>
        <w:t>glio ratificò: 7 voti non vali</w:t>
      </w:r>
      <w:r w:rsidRPr="009D3E92">
        <w:rPr>
          <w:sz w:val="28"/>
          <w:szCs w:val="28"/>
        </w:rPr>
        <w:t>di, 435 no, 1078 sì</w:t>
      </w:r>
      <w:r w:rsidR="00C65E93">
        <w:rPr>
          <w:rStyle w:val="Rimandonotaapidipagina"/>
          <w:sz w:val="28"/>
          <w:szCs w:val="28"/>
        </w:rPr>
        <w:footnoteReference w:id="4"/>
      </w:r>
      <w:r w:rsidRPr="009D3E92">
        <w:rPr>
          <w:sz w:val="28"/>
          <w:szCs w:val="28"/>
        </w:rPr>
        <w:t>.</w:t>
      </w:r>
    </w:p>
    <w:p w:rsidR="00C65E93" w:rsidRDefault="00C65E93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3E92" w:rsidRPr="009D3E92">
        <w:rPr>
          <w:sz w:val="28"/>
          <w:szCs w:val="28"/>
        </w:rPr>
        <w:t>Tra i fratelli Miani la scelta per l</w:t>
      </w:r>
      <w:r>
        <w:rPr>
          <w:sz w:val="28"/>
          <w:szCs w:val="28"/>
        </w:rPr>
        <w:t>’</w:t>
      </w:r>
      <w:r w:rsidR="009D3E92" w:rsidRPr="009D3E92">
        <w:rPr>
          <w:sz w:val="28"/>
          <w:szCs w:val="28"/>
        </w:rPr>
        <w:t>ufficio di castellano non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poté cadere che su Girolamo: Luca era invalido, Carlo e Marco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 xml:space="preserve">impegnati in altri uffici pubblici </w:t>
      </w:r>
      <w:r>
        <w:rPr>
          <w:sz w:val="28"/>
          <w:szCs w:val="28"/>
        </w:rPr>
        <w:t>e</w:t>
      </w:r>
      <w:r w:rsidR="009D3E92" w:rsidRPr="009D3E92">
        <w:rPr>
          <w:sz w:val="28"/>
          <w:szCs w:val="28"/>
        </w:rPr>
        <w:t xml:space="preserve"> negli affari di famiglia. Così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Girolamo andò a Castelnuovo, a</w:t>
      </w:r>
      <w:r>
        <w:rPr>
          <w:sz w:val="28"/>
          <w:szCs w:val="28"/>
        </w:rPr>
        <w:t>ffacciandosi, assai probabilmen</w:t>
      </w:r>
      <w:r w:rsidR="009D3E92" w:rsidRPr="009D3E92">
        <w:rPr>
          <w:sz w:val="28"/>
          <w:szCs w:val="28"/>
        </w:rPr>
        <w:t>te per la prima volta, alla vita pubblica. Aveva venticinque anni.</w:t>
      </w:r>
      <w:r>
        <w:rPr>
          <w:sz w:val="28"/>
          <w:szCs w:val="28"/>
        </w:rPr>
        <w:t xml:space="preserve"> </w:t>
      </w:r>
    </w:p>
    <w:p w:rsidR="009D3E92" w:rsidRPr="009D3E92" w:rsidRDefault="00C65E93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3E92" w:rsidRPr="009D3E92">
        <w:rPr>
          <w:sz w:val="28"/>
          <w:szCs w:val="28"/>
        </w:rPr>
        <w:t>“Questo castello è sopra la Piave</w:t>
      </w:r>
      <w:r>
        <w:rPr>
          <w:sz w:val="28"/>
          <w:szCs w:val="28"/>
        </w:rPr>
        <w:t xml:space="preserve"> ...</w:t>
      </w:r>
      <w:r w:rsidR="009D3E92" w:rsidRPr="009D3E92">
        <w:rPr>
          <w:sz w:val="28"/>
          <w:szCs w:val="28"/>
        </w:rPr>
        <w:t>; è locho di passo; à do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torre</w:t>
      </w:r>
      <w:r>
        <w:rPr>
          <w:sz w:val="28"/>
          <w:szCs w:val="28"/>
        </w:rPr>
        <w:t xml:space="preserve"> ...</w:t>
      </w:r>
      <w:r w:rsidR="009D3E92" w:rsidRPr="009D3E92">
        <w:rPr>
          <w:sz w:val="28"/>
          <w:szCs w:val="28"/>
        </w:rPr>
        <w:t xml:space="preserve"> è torniato di monti. Di qui va le robe in terra tedescha de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 xml:space="preserve">Veniexia su carri. </w:t>
      </w:r>
      <w:r>
        <w:rPr>
          <w:sz w:val="28"/>
          <w:szCs w:val="28"/>
        </w:rPr>
        <w:t xml:space="preserve">E </w:t>
      </w:r>
      <w:r w:rsidR="009D3E92" w:rsidRPr="009D3E92">
        <w:rPr>
          <w:sz w:val="28"/>
          <w:szCs w:val="28"/>
        </w:rPr>
        <w:t>do porte e do ponti levadori”</w:t>
      </w:r>
      <w:r>
        <w:rPr>
          <w:rStyle w:val="Rimandonotaapidipagina"/>
          <w:sz w:val="28"/>
          <w:szCs w:val="28"/>
        </w:rPr>
        <w:footnoteReference w:id="5"/>
      </w:r>
      <w:r w:rsidR="009D3E92" w:rsidRPr="009D3E92">
        <w:rPr>
          <w:sz w:val="28"/>
          <w:szCs w:val="28"/>
        </w:rPr>
        <w:t>. Situato nella</w:t>
      </w:r>
      <w:r w:rsidR="00751AB2"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stretta di Quero, dove i fianchi della valle sono ripidissimi,</w:t>
      </w:r>
      <w:r w:rsidR="00751AB2"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domina la strada tra Feltre e Treviso, la quale passa attraverso le</w:t>
      </w:r>
      <w:r w:rsidR="00751AB2"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sue porte. A picco sul Piave, controlla anche il corso del fiume,</w:t>
      </w:r>
      <w:r w:rsidR="00751AB2"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il cui passaggio poteva essere impedito mediante duplice catena</w:t>
      </w:r>
      <w:r w:rsidR="00751AB2"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che veniva tesa tra la torre del castello che stava sul fiume e</w:t>
      </w:r>
      <w:r w:rsidR="00751AB2"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un'altra torre eretta sulla sponda opposta.</w:t>
      </w:r>
    </w:p>
    <w:p w:rsidR="009D3E92" w:rsidRPr="009D3E92" w:rsidRDefault="00751AB2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D3E92" w:rsidRPr="009D3E92">
        <w:rPr>
          <w:sz w:val="28"/>
          <w:szCs w:val="28"/>
        </w:rPr>
        <w:t>Era quindi luogo di una certa importanza, sia in tempo di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pace per la vigilanza sul commercio con la Germania, come in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tempo di guerra, perché passaggio obbligatorio sulla via per Treviso e Venezia.</w:t>
      </w:r>
    </w:p>
    <w:p w:rsidR="009D3E92" w:rsidRPr="009D3E92" w:rsidRDefault="00751AB2" w:rsidP="009D3E9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3E92" w:rsidRPr="009D3E92">
        <w:rPr>
          <w:sz w:val="28"/>
          <w:szCs w:val="28"/>
        </w:rPr>
        <w:t>E difatti in quegli anni aveva subito</w:t>
      </w:r>
      <w:r>
        <w:rPr>
          <w:sz w:val="28"/>
          <w:szCs w:val="28"/>
        </w:rPr>
        <w:t xml:space="preserve"> l’</w:t>
      </w:r>
      <w:r w:rsidR="009D3E92" w:rsidRPr="009D3E92">
        <w:rPr>
          <w:sz w:val="28"/>
          <w:szCs w:val="28"/>
        </w:rPr>
        <w:t>alterna vicenda degli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avvenimenti della guerra. Ceduto ai tedeschi il 10 giugno 1509,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 xml:space="preserve">fu riconquistato per Venezia da Andrea Rimondo il 23 dello stesso mese. Ma egli </w:t>
      </w:r>
      <w:r>
        <w:rPr>
          <w:sz w:val="28"/>
          <w:szCs w:val="28"/>
        </w:rPr>
        <w:t>l</w:t>
      </w:r>
      <w:r w:rsidR="009D3E92" w:rsidRPr="009D3E92">
        <w:rPr>
          <w:sz w:val="28"/>
          <w:szCs w:val="28"/>
        </w:rPr>
        <w:t>'abbandonò non molto gloriosamente, dieci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giorni dopo. Fu ripreso il 28 luglio dalla gente del luogo, poi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 xml:space="preserve">nuovamente perduto </w:t>
      </w:r>
      <w:r>
        <w:rPr>
          <w:sz w:val="28"/>
          <w:szCs w:val="28"/>
        </w:rPr>
        <w:t>e</w:t>
      </w:r>
      <w:r w:rsidR="009D3E92" w:rsidRPr="009D3E92">
        <w:rPr>
          <w:sz w:val="28"/>
          <w:szCs w:val="28"/>
        </w:rPr>
        <w:t xml:space="preserve"> ricuperato. Nel 1510 fu in mano dei veneziani. Nel giugno e luglio il castellano Lauro Quirini domandava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artiglieria e munizioni per fortificarlo ma, non ric</w:t>
      </w:r>
      <w:r>
        <w:rPr>
          <w:sz w:val="28"/>
          <w:szCs w:val="28"/>
        </w:rPr>
        <w:t>e</w:t>
      </w:r>
      <w:r w:rsidR="009D3E92" w:rsidRPr="009D3E92">
        <w:rPr>
          <w:sz w:val="28"/>
          <w:szCs w:val="28"/>
        </w:rPr>
        <w:t>vendone, nel</w:t>
      </w:r>
      <w:r>
        <w:rPr>
          <w:sz w:val="28"/>
          <w:szCs w:val="28"/>
        </w:rPr>
        <w:t xml:space="preserve"> </w:t>
      </w:r>
      <w:r w:rsidR="009D3E92" w:rsidRPr="009D3E92">
        <w:rPr>
          <w:sz w:val="28"/>
          <w:szCs w:val="28"/>
        </w:rPr>
        <w:t>luglio 1510 abbandonò il castello</w:t>
      </w:r>
      <w:r>
        <w:rPr>
          <w:rStyle w:val="Rimandonotaapidipagina"/>
          <w:sz w:val="28"/>
          <w:szCs w:val="28"/>
        </w:rPr>
        <w:footnoteReference w:id="6"/>
      </w:r>
      <w:r w:rsidR="009D3E92" w:rsidRPr="009D3E92">
        <w:rPr>
          <w:sz w:val="28"/>
          <w:szCs w:val="28"/>
        </w:rPr>
        <w:t>.</w:t>
      </w:r>
    </w:p>
    <w:p w:rsidR="00AD5117" w:rsidRDefault="00AD5117" w:rsidP="00AD5117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58</w:t>
      </w:r>
    </w:p>
    <w:p w:rsidR="00AD5117" w:rsidRPr="00AD5117" w:rsidRDefault="00751AB2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Girolamo vi andò negli ultimi giorni di dicembre del 1510 e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nei primi di gennaio del 1511.</w:t>
      </w:r>
    </w:p>
    <w:p w:rsidR="00751AB2" w:rsidRDefault="00751AB2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Sembra che si applicasse con energia a restaurare la disciplina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e in questa opera dovette incontrare resistenza di qualche riottoso,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resistenza che si trasformò anche in insulti contro il castellano.</w:t>
      </w:r>
      <w:r>
        <w:rPr>
          <w:sz w:val="28"/>
          <w:szCs w:val="28"/>
        </w:rPr>
        <w:t xml:space="preserve"> </w:t>
      </w:r>
    </w:p>
    <w:p w:rsidR="00AD5117" w:rsidRPr="00AD5117" w:rsidRDefault="00751AB2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Intanto studiava attentamente la zona. Nella vicinanza del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castello vi era un passo che poteva rappresentare un pericolo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anche da parte dei nemici. Già il Sanudo nel 1483 aveva notato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nel suo “itinerario”: “é un locho poco luntan chiamato Cavas,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dove si puol andar in terra tedescha, et zà fu mandato rnesser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Alvise Foscarin dotor, Procurator, et qui messe pena forcha che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non si potesse passar; tamen per hora sta aperto, et fa gran danno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per li contrabandi. De qui à mia 7 fino a Feltre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.. .“</w:t>
      </w:r>
      <w:r>
        <w:rPr>
          <w:rStyle w:val="Rimandonotaapidipagina"/>
          <w:sz w:val="28"/>
          <w:szCs w:val="28"/>
        </w:rPr>
        <w:footnoteReference w:id="7"/>
      </w:r>
      <w:r w:rsidR="00AD5117" w:rsidRPr="00AD5117">
        <w:rPr>
          <w:sz w:val="28"/>
          <w:szCs w:val="28"/>
        </w:rPr>
        <w:t>.</w:t>
      </w:r>
    </w:p>
    <w:p w:rsidR="00AD5117" w:rsidRPr="00AD5117" w:rsidRDefault="00F377F7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Girolamo il 12 aprile 1511 scrisse ai Capi del Consiglio dei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Dieci per ragguagliarli degli insulti subiti e della situazione del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passo di Scalon.</w:t>
      </w:r>
    </w:p>
    <w:p w:rsidR="00AD5117" w:rsidRPr="00AD5117" w:rsidRDefault="00F377F7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Il Consiglio dei Dieci, in data 24 aprile, girò la lettera di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Girolamo al podestà di Treviso, Andrea Donà, ordinandogli di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istituire un processo diligente e segreto per provare la realtà del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 xml:space="preserve">fatto e conoscere i nomi dei </w:t>
      </w:r>
      <w:r w:rsidR="00AD5117" w:rsidRPr="00AD5117">
        <w:rPr>
          <w:sz w:val="28"/>
          <w:szCs w:val="28"/>
        </w:rPr>
        <w:lastRenderedPageBreak/>
        <w:t>colpevoli. Quanto al passo di Scalon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il Donà avrebbe dovuto disporre un sopralluogo di esperti</w:t>
      </w:r>
      <w:r>
        <w:rPr>
          <w:sz w:val="28"/>
          <w:szCs w:val="28"/>
        </w:rPr>
        <w:t xml:space="preserve"> e, sul</w:t>
      </w:r>
      <w:r w:rsidR="00AD5117" w:rsidRPr="00AD5117">
        <w:rPr>
          <w:sz w:val="28"/>
          <w:szCs w:val="28"/>
        </w:rPr>
        <w:t>la base delle loro osservazioni, proporre gli opportuni rimedi agli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stessi Capi dei Dieci</w:t>
      </w:r>
      <w:r>
        <w:rPr>
          <w:rStyle w:val="Rimandonotaapidipagina"/>
          <w:sz w:val="28"/>
          <w:szCs w:val="28"/>
        </w:rPr>
        <w:footnoteReference w:id="8"/>
      </w:r>
      <w:r w:rsidR="00AD5117" w:rsidRPr="00AD5117">
        <w:rPr>
          <w:sz w:val="28"/>
          <w:szCs w:val="28"/>
        </w:rPr>
        <w:t>.</w:t>
      </w:r>
    </w:p>
    <w:p w:rsidR="00AD5117" w:rsidRDefault="00F377F7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Il Donà istituì il processo e i fa</w:t>
      </w:r>
      <w:r>
        <w:rPr>
          <w:sz w:val="28"/>
          <w:szCs w:val="28"/>
        </w:rPr>
        <w:t>tti dovettero apparire veri per</w:t>
      </w:r>
      <w:r w:rsidR="00AD5117" w:rsidRPr="00AD5117">
        <w:rPr>
          <w:sz w:val="28"/>
          <w:szCs w:val="28"/>
        </w:rPr>
        <w:t>ché in una seconda lettera del 30 maggio i Capi dei Dieci gli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ordinavano di fare conveniente giustizia, non appena ultimato il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processo. Anche il sopralluogo al passo di Scalon conferm</w:t>
      </w:r>
      <w:r>
        <w:rPr>
          <w:sz w:val="28"/>
          <w:szCs w:val="28"/>
        </w:rPr>
        <w:t>ò</w:t>
      </w:r>
      <w:r w:rsidR="00AD5117" w:rsidRPr="00AD5117">
        <w:rPr>
          <w:sz w:val="28"/>
          <w:szCs w:val="28"/>
        </w:rPr>
        <w:t xml:space="preserve"> il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danno che da esso proveniva ai dazi della repubblica e il pericolo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per la vicinanza dei nemici. D</w:t>
      </w:r>
      <w:r>
        <w:rPr>
          <w:sz w:val="28"/>
          <w:szCs w:val="28"/>
        </w:rPr>
        <w:t>’</w:t>
      </w:r>
      <w:r w:rsidR="00AD5117" w:rsidRPr="00AD5117">
        <w:rPr>
          <w:sz w:val="28"/>
          <w:szCs w:val="28"/>
        </w:rPr>
        <w:t>accordo con il castellano, il Donà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lo facesse distruggere, usando però tutta la destrezza e le buone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maniere ritenute opportune per non irritare la popolazione. Se</w:t>
      </w:r>
      <w:r>
        <w:rPr>
          <w:sz w:val="28"/>
          <w:szCs w:val="28"/>
        </w:rPr>
        <w:t xml:space="preserve"> </w:t>
      </w:r>
    </w:p>
    <w:p w:rsidR="00AD5117" w:rsidRDefault="00AD5117" w:rsidP="00AD5117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59</w:t>
      </w:r>
    </w:p>
    <w:p w:rsidR="00AD5117" w:rsidRPr="00AD5117" w:rsidRDefault="00AD5117" w:rsidP="00AD5117">
      <w:pPr>
        <w:ind w:right="1133"/>
        <w:jc w:val="both"/>
        <w:rPr>
          <w:sz w:val="28"/>
          <w:szCs w:val="28"/>
        </w:rPr>
      </w:pPr>
      <w:r w:rsidRPr="00AD5117">
        <w:rPr>
          <w:sz w:val="28"/>
          <w:szCs w:val="28"/>
        </w:rPr>
        <w:t xml:space="preserve">poi egli non </w:t>
      </w:r>
      <w:r w:rsidR="00F377F7">
        <w:rPr>
          <w:sz w:val="28"/>
          <w:szCs w:val="28"/>
        </w:rPr>
        <w:t>l’</w:t>
      </w:r>
      <w:r w:rsidRPr="00AD5117">
        <w:rPr>
          <w:sz w:val="28"/>
          <w:szCs w:val="28"/>
        </w:rPr>
        <w:t>avesse ritenuto nocivo agli interessi dello Stato, lo</w:t>
      </w:r>
      <w:r w:rsidR="00F377F7">
        <w:rPr>
          <w:sz w:val="28"/>
          <w:szCs w:val="28"/>
        </w:rPr>
        <w:t xml:space="preserve"> </w:t>
      </w:r>
      <w:r w:rsidRPr="00AD5117">
        <w:rPr>
          <w:sz w:val="28"/>
          <w:szCs w:val="28"/>
        </w:rPr>
        <w:t>si lasciasse stare come era</w:t>
      </w:r>
      <w:r w:rsidR="00F377F7">
        <w:rPr>
          <w:rStyle w:val="Rimandonotaapidipagina"/>
          <w:sz w:val="28"/>
          <w:szCs w:val="28"/>
        </w:rPr>
        <w:footnoteReference w:id="9"/>
      </w:r>
      <w:r w:rsidR="00F377F7">
        <w:rPr>
          <w:sz w:val="28"/>
          <w:szCs w:val="28"/>
        </w:rPr>
        <w:t>.</w:t>
      </w:r>
    </w:p>
    <w:p w:rsidR="00AD5117" w:rsidRPr="00AD5117" w:rsidRDefault="00F377F7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Ma le condizioni dei tempi non erano favorevoli ad atti di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forza, né il Donà era uomo molto deciso</w:t>
      </w:r>
      <w:r>
        <w:rPr>
          <w:rStyle w:val="Rimandonotaapidipagina"/>
          <w:sz w:val="28"/>
          <w:szCs w:val="28"/>
        </w:rPr>
        <w:footnoteReference w:id="10"/>
      </w:r>
      <w:r w:rsidR="00AD5117" w:rsidRPr="00AD5117">
        <w:rPr>
          <w:sz w:val="28"/>
          <w:szCs w:val="28"/>
        </w:rPr>
        <w:t>. Gli parve quindi</w:t>
      </w:r>
      <w:r w:rsidR="007A5C14"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opportuno soprassedere sia alla demolizione del passo di Scalon,</w:t>
      </w:r>
      <w:r w:rsidR="007A5C14"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sia dal far giustizia degli insulti contro il castellano e ne in</w:t>
      </w:r>
      <w:r w:rsidR="007A5C14">
        <w:rPr>
          <w:sz w:val="28"/>
          <w:szCs w:val="28"/>
        </w:rPr>
        <w:t xml:space="preserve">formò </w:t>
      </w:r>
      <w:r w:rsidR="00AD5117" w:rsidRPr="00AD5117">
        <w:rPr>
          <w:sz w:val="28"/>
          <w:szCs w:val="28"/>
        </w:rPr>
        <w:t xml:space="preserve">i Capi dei Dieci il 7 giugno. Essi </w:t>
      </w:r>
      <w:r w:rsidR="007A5C14">
        <w:rPr>
          <w:sz w:val="28"/>
          <w:szCs w:val="28"/>
        </w:rPr>
        <w:t>approvarono il suo operato, sal</w:t>
      </w:r>
      <w:r w:rsidR="00AD5117" w:rsidRPr="00AD5117">
        <w:rPr>
          <w:sz w:val="28"/>
          <w:szCs w:val="28"/>
        </w:rPr>
        <w:t>ve future decisioni in contrario, con lettera dell</w:t>
      </w:r>
      <w:r w:rsidR="007A5C14">
        <w:rPr>
          <w:sz w:val="28"/>
          <w:szCs w:val="28"/>
        </w:rPr>
        <w:t>’11</w:t>
      </w:r>
      <w:r w:rsidR="00AD5117" w:rsidRPr="00AD5117">
        <w:rPr>
          <w:sz w:val="28"/>
          <w:szCs w:val="28"/>
        </w:rPr>
        <w:t xml:space="preserve"> giugno</w:t>
      </w:r>
      <w:r w:rsidR="007A5C14">
        <w:rPr>
          <w:rStyle w:val="Rimandonotaapidipagina"/>
          <w:sz w:val="28"/>
          <w:szCs w:val="28"/>
        </w:rPr>
        <w:footnoteReference w:id="11"/>
      </w:r>
      <w:r w:rsidR="00AD5117" w:rsidRPr="00AD5117">
        <w:rPr>
          <w:sz w:val="28"/>
          <w:szCs w:val="28"/>
        </w:rPr>
        <w:t>.</w:t>
      </w:r>
    </w:p>
    <w:p w:rsidR="00AD5117" w:rsidRDefault="007A5C14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117" w:rsidRPr="00AD5117">
        <w:rPr>
          <w:sz w:val="28"/>
          <w:szCs w:val="28"/>
        </w:rPr>
        <w:t>E realmente non sarebbe stato prudente calcare la mano: i</w:t>
      </w:r>
      <w:r>
        <w:rPr>
          <w:sz w:val="28"/>
          <w:szCs w:val="28"/>
        </w:rPr>
        <w:t xml:space="preserve"> </w:t>
      </w:r>
      <w:r w:rsidR="00AD5117" w:rsidRPr="00AD5117">
        <w:rPr>
          <w:sz w:val="28"/>
          <w:szCs w:val="28"/>
        </w:rPr>
        <w:t>nemici erano alle porte.</w:t>
      </w:r>
    </w:p>
    <w:p w:rsidR="0009454C" w:rsidRDefault="0009454C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</w:t>
      </w:r>
    </w:p>
    <w:p w:rsidR="0009454C" w:rsidRDefault="0076382B" w:rsidP="00AD5117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="0009454C">
        <w:rPr>
          <w:i/>
          <w:sz w:val="28"/>
          <w:szCs w:val="28"/>
        </w:rPr>
        <w:t>Giacomo Cavalli</w:t>
      </w:r>
    </w:p>
    <w:p w:rsidR="0009454C" w:rsidRDefault="0009454C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</w:t>
      </w:r>
    </w:p>
    <w:p w:rsidR="0009454C" w:rsidRPr="0009454C" w:rsidRDefault="0009454C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Secondo Brunelli, </w:t>
      </w:r>
      <w:r>
        <w:rPr>
          <w:i/>
          <w:sz w:val="28"/>
          <w:szCs w:val="28"/>
        </w:rPr>
        <w:t>Cavalli, albero genealogico</w:t>
      </w:r>
      <w:r>
        <w:rPr>
          <w:sz w:val="28"/>
          <w:szCs w:val="28"/>
        </w:rPr>
        <w:t>.</w:t>
      </w:r>
    </w:p>
    <w:p w:rsidR="00AD5117" w:rsidRDefault="0076382B" w:rsidP="00AD511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3</w:t>
      </w:r>
      <w:bookmarkStart w:id="0" w:name="_GoBack"/>
      <w:bookmarkEnd w:id="0"/>
    </w:p>
    <w:p w:rsidR="00F377F7" w:rsidRDefault="00F377F7" w:rsidP="00AD5117">
      <w:pPr>
        <w:ind w:right="1133"/>
        <w:jc w:val="both"/>
        <w:rPr>
          <w:sz w:val="28"/>
          <w:szCs w:val="28"/>
        </w:rPr>
      </w:pPr>
    </w:p>
    <w:p w:rsidR="00AD5117" w:rsidRDefault="00AD5117" w:rsidP="00AD5117">
      <w:pPr>
        <w:ind w:right="1133"/>
        <w:jc w:val="both"/>
        <w:rPr>
          <w:sz w:val="28"/>
          <w:szCs w:val="28"/>
        </w:rPr>
      </w:pPr>
    </w:p>
    <w:p w:rsidR="00AD5117" w:rsidRDefault="00AD5117" w:rsidP="00AD5117">
      <w:pPr>
        <w:ind w:right="1133"/>
        <w:jc w:val="both"/>
        <w:rPr>
          <w:sz w:val="28"/>
          <w:szCs w:val="28"/>
        </w:rPr>
      </w:pPr>
    </w:p>
    <w:p w:rsidR="00AD5117" w:rsidRDefault="00AD5117" w:rsidP="00AD5117">
      <w:pPr>
        <w:ind w:right="1133"/>
        <w:jc w:val="both"/>
        <w:rPr>
          <w:sz w:val="28"/>
          <w:szCs w:val="28"/>
        </w:rPr>
      </w:pPr>
    </w:p>
    <w:p w:rsidR="00D272C9" w:rsidRPr="00D272C9" w:rsidRDefault="00D272C9" w:rsidP="00D272C9">
      <w:pPr>
        <w:ind w:right="1133"/>
        <w:jc w:val="right"/>
        <w:rPr>
          <w:sz w:val="28"/>
          <w:szCs w:val="28"/>
        </w:rPr>
      </w:pPr>
    </w:p>
    <w:sectPr w:rsidR="00D272C9" w:rsidRPr="00D272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4F" w:rsidRDefault="00D9604F" w:rsidP="000D7373">
      <w:pPr>
        <w:spacing w:after="0" w:line="240" w:lineRule="auto"/>
      </w:pPr>
      <w:r>
        <w:separator/>
      </w:r>
    </w:p>
  </w:endnote>
  <w:endnote w:type="continuationSeparator" w:id="0">
    <w:p w:rsidR="00D9604F" w:rsidRDefault="00D9604F" w:rsidP="000D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4F" w:rsidRDefault="00D9604F" w:rsidP="000D7373">
      <w:pPr>
        <w:spacing w:after="0" w:line="240" w:lineRule="auto"/>
      </w:pPr>
      <w:r>
        <w:separator/>
      </w:r>
    </w:p>
  </w:footnote>
  <w:footnote w:type="continuationSeparator" w:id="0">
    <w:p w:rsidR="00D9604F" w:rsidRDefault="00D9604F" w:rsidP="000D7373">
      <w:pPr>
        <w:spacing w:after="0" w:line="240" w:lineRule="auto"/>
      </w:pPr>
      <w:r>
        <w:continuationSeparator/>
      </w:r>
    </w:p>
  </w:footnote>
  <w:footnote w:id="1">
    <w:p w:rsidR="000D7373" w:rsidRDefault="000D7373">
      <w:pPr>
        <w:pStyle w:val="Testonotaapidipagina"/>
      </w:pPr>
      <w:r>
        <w:rPr>
          <w:rStyle w:val="Rimandonotaapidipagina"/>
        </w:rPr>
        <w:footnoteRef/>
      </w:r>
      <w:r>
        <w:t xml:space="preserve"> (47) </w:t>
      </w:r>
      <w:r w:rsidRPr="000D7373">
        <w:t xml:space="preserve">M. SANUDO, </w:t>
      </w:r>
      <w:r w:rsidRPr="000D7373">
        <w:rPr>
          <w:i/>
        </w:rPr>
        <w:t>Diari,</w:t>
      </w:r>
      <w:r w:rsidRPr="000D7373">
        <w:t xml:space="preserve"> citt., t. XI, col. 614.</w:t>
      </w:r>
    </w:p>
  </w:footnote>
  <w:footnote w:id="2">
    <w:p w:rsidR="000D7373" w:rsidRPr="000D7373" w:rsidRDefault="000D7373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(48) </w:t>
      </w:r>
      <w:r>
        <w:rPr>
          <w:i/>
        </w:rPr>
        <w:t xml:space="preserve">Ibidem, </w:t>
      </w:r>
      <w:r w:rsidRPr="000D7373">
        <w:t>c. 672.</w:t>
      </w:r>
    </w:p>
  </w:footnote>
  <w:footnote w:id="3">
    <w:p w:rsidR="000D7373" w:rsidRDefault="000D7373" w:rsidP="00C65E93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(49)</w:t>
      </w:r>
      <w:r w:rsidR="00C65E93" w:rsidRPr="00C65E93">
        <w:t xml:space="preserve"> </w:t>
      </w:r>
      <w:r w:rsidR="00C65E93" w:rsidRPr="00C65E93">
        <w:rPr>
          <w:i/>
        </w:rPr>
        <w:t>Concessione di Castelnuovo di Quer a Luca Miani</w:t>
      </w:r>
      <w:r w:rsidR="00C65E93" w:rsidRPr="00C65E93">
        <w:t xml:space="preserve">, A.S. Ven., reg. 17, c.53. Cfr. anche AS. VEN., Maggior Consiglio, </w:t>
      </w:r>
      <w:r w:rsidR="00C65E93" w:rsidRPr="00C65E93">
        <w:rPr>
          <w:i/>
        </w:rPr>
        <w:t>Deliberazioni,</w:t>
      </w:r>
      <w:r w:rsidR="00C65E93" w:rsidRPr="00C65E93">
        <w:t xml:space="preserve"> reg. Deda c. 60. Sottolineo queste condizioni poste a Luca, o a quello dei fratelli che lo sostituirà nella reggenza di Castelnuovo, perche vi sono elementi da tener presenti per la vita futura di Girolamo. </w:t>
      </w:r>
      <w:r>
        <w:t xml:space="preserve"> </w:t>
      </w:r>
    </w:p>
  </w:footnote>
  <w:footnote w:id="4">
    <w:p w:rsidR="00C65E93" w:rsidRDefault="00C65E93">
      <w:pPr>
        <w:pStyle w:val="Testonotaapidipagina"/>
      </w:pPr>
      <w:r>
        <w:rPr>
          <w:rStyle w:val="Rimandonotaapidipagina"/>
        </w:rPr>
        <w:footnoteRef/>
      </w:r>
      <w:r>
        <w:t xml:space="preserve"> (50) </w:t>
      </w:r>
      <w:r w:rsidRPr="00C65E93">
        <w:t xml:space="preserve">M. Sanuoo, </w:t>
      </w:r>
      <w:r w:rsidRPr="00C65E93">
        <w:rPr>
          <w:i/>
        </w:rPr>
        <w:t>Diari,</w:t>
      </w:r>
      <w:r w:rsidRPr="00C65E93">
        <w:t xml:space="preserve"> citt., t. XI, coll. 691-692.</w:t>
      </w:r>
    </w:p>
  </w:footnote>
  <w:footnote w:id="5">
    <w:p w:rsidR="00C65E93" w:rsidRDefault="00C65E93" w:rsidP="00751AB2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(51) </w:t>
      </w:r>
      <w:r w:rsidR="00751AB2" w:rsidRPr="00751AB2">
        <w:t>M. SANUDO, Itinerario, cit., pag. 120. Cfr. anche A. VECELLIO, I castelli feltrini, Memorie, Feltre 1986, pagg. 361 segg.</w:t>
      </w:r>
    </w:p>
  </w:footnote>
  <w:footnote w:id="6">
    <w:p w:rsidR="00751AB2" w:rsidRDefault="00751AB2">
      <w:pPr>
        <w:pStyle w:val="Testonotaapidipagina"/>
      </w:pPr>
      <w:r>
        <w:rPr>
          <w:rStyle w:val="Rimandonotaapidipagina"/>
        </w:rPr>
        <w:footnoteRef/>
      </w:r>
      <w:r>
        <w:t xml:space="preserve"> (52) </w:t>
      </w:r>
      <w:r w:rsidRPr="00751AB2">
        <w:t xml:space="preserve">M. SANUDO, </w:t>
      </w:r>
      <w:r w:rsidRPr="00751AB2">
        <w:rPr>
          <w:i/>
        </w:rPr>
        <w:t>Diari</w:t>
      </w:r>
      <w:r w:rsidRPr="00751AB2">
        <w:t>, citt., t. VIII, coll. 303, 333, 338, 339, 375, 438, 440.</w:t>
      </w:r>
    </w:p>
  </w:footnote>
  <w:footnote w:id="7">
    <w:p w:rsidR="00751AB2" w:rsidRDefault="00751AB2" w:rsidP="00F377F7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(53) </w:t>
      </w:r>
      <w:r w:rsidR="00F377F7" w:rsidRPr="00F377F7">
        <w:t>M. SANUDO, Itinerario, cit., pag. 120. Parecchie circostanze mi fanno ritenere che i due nomi indichino lo stesso luogo, anche se vi è, ma non rispondente ai dati del Sanudo, un’altra località di nome Cavaso.</w:t>
      </w:r>
    </w:p>
  </w:footnote>
  <w:footnote w:id="8">
    <w:p w:rsidR="00F377F7" w:rsidRDefault="00F377F7" w:rsidP="00F377F7">
      <w:pPr>
        <w:pStyle w:val="Testonotaapidipagina"/>
      </w:pPr>
      <w:r>
        <w:rPr>
          <w:rStyle w:val="Rimandonotaapidipagina"/>
        </w:rPr>
        <w:footnoteRef/>
      </w:r>
      <w:r>
        <w:t xml:space="preserve"> (54) A. S. VEN., </w:t>
      </w:r>
      <w:r w:rsidRPr="00F377F7">
        <w:rPr>
          <w:i/>
        </w:rPr>
        <w:t>Consiglio dei Die</w:t>
      </w:r>
      <w:r>
        <w:t>ci, Lettere dei Capi, b.l3, doc. 61</w:t>
      </w:r>
    </w:p>
  </w:footnote>
  <w:footnote w:id="9">
    <w:p w:rsidR="00F377F7" w:rsidRPr="00F377F7" w:rsidRDefault="00F377F7">
      <w:pPr>
        <w:pStyle w:val="Testonotaapidipagina"/>
      </w:pPr>
      <w:r>
        <w:rPr>
          <w:rStyle w:val="Rimandonotaapidipagina"/>
        </w:rPr>
        <w:footnoteRef/>
      </w:r>
      <w:r>
        <w:t xml:space="preserve"> (55) </w:t>
      </w:r>
      <w:r>
        <w:rPr>
          <w:i/>
        </w:rPr>
        <w:t xml:space="preserve">Ibidem, </w:t>
      </w:r>
      <w:r>
        <w:t>doc. 117.</w:t>
      </w:r>
    </w:p>
  </w:footnote>
  <w:footnote w:id="10">
    <w:p w:rsidR="00F377F7" w:rsidRDefault="00F377F7" w:rsidP="007A5C1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(56) V. M. SANUDO, </w:t>
      </w:r>
      <w:r w:rsidRPr="00F377F7">
        <w:rPr>
          <w:i/>
        </w:rPr>
        <w:t>Diari</w:t>
      </w:r>
      <w:r>
        <w:t>, citt. t. XI, col. 760; t. XII, coll. 137, 409, 421, 479, 502, 524.</w:t>
      </w:r>
    </w:p>
  </w:footnote>
  <w:footnote w:id="11">
    <w:p w:rsidR="007A5C14" w:rsidRDefault="007A5C14" w:rsidP="007A5C14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(57) </w:t>
      </w:r>
      <w:r w:rsidRPr="007A5C14">
        <w:t>A.S. VEN., Consiglio dei Dieci, Lettere dei Capi, b. 13, doc. 164. Intorno a questo abbiamo una serie di lettere. Il 12 aprile, da Castelnuovo, Girolamo scrisse ai Capi del Consiglio dei Dieci. I Capi dei Dieci scrissero in merito ad Andrea Donà il 24 aprile 1511. Il Donà rispose il 9 maggio. Il 30 maggio seconda lettera dei Capi dei Dieci al Dona. Seconda risposta del Donà il 7 giugno. L’11 giugno terza ed ultima lettera dei Capi dei Dieci. Di questo carteggio sono conservate le minute delle tre lettere dei Capi del Consiglio dei Dieci; ma non mi è stato possibile ritrovare la lettera del Miani e le due del Donà, né l’incartamento del processo che il Donà stesso istituì secondo le istruzioni dei Capi dei Dieci.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C9"/>
    <w:rsid w:val="0009454C"/>
    <w:rsid w:val="000D7373"/>
    <w:rsid w:val="00751AB2"/>
    <w:rsid w:val="0076382B"/>
    <w:rsid w:val="007A5C14"/>
    <w:rsid w:val="00890917"/>
    <w:rsid w:val="009D3E92"/>
    <w:rsid w:val="00AD5117"/>
    <w:rsid w:val="00C65E93"/>
    <w:rsid w:val="00D272C9"/>
    <w:rsid w:val="00D9604F"/>
    <w:rsid w:val="00EF73C3"/>
    <w:rsid w:val="00F377F7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3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3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73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73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3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996B-C313-4C6B-A246-C6062BDF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2020-07-05T13:25:00Z</dcterms:created>
  <dcterms:modified xsi:type="dcterms:W3CDTF">2020-08-04T09:28:00Z</dcterms:modified>
</cp:coreProperties>
</file>