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06" w:rsidRDefault="0086181F">
      <w:r>
        <w:rPr>
          <w:noProof/>
          <w:lang w:eastAsia="it-IT"/>
        </w:rPr>
        <w:drawing>
          <wp:inline distT="0" distB="0" distL="0" distR="0" wp14:anchorId="6F6AFD7F" wp14:editId="707D1685">
            <wp:extent cx="3346622" cy="5696243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622" cy="569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975" w:rsidRDefault="00B00975">
      <w:r>
        <w:t>Riv. Congr. fasc. 44, 1932, pag. 90-91</w:t>
      </w:r>
      <w:bookmarkStart w:id="0" w:name="_GoBack"/>
      <w:bookmarkEnd w:id="0"/>
    </w:p>
    <w:sectPr w:rsidR="00B00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1F"/>
    <w:rsid w:val="00126606"/>
    <w:rsid w:val="0086181F"/>
    <w:rsid w:val="00B0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2018-01-16T08:17:00Z</dcterms:created>
  <dcterms:modified xsi:type="dcterms:W3CDTF">2018-01-16T08:19:00Z</dcterms:modified>
</cp:coreProperties>
</file>