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AF" w:rsidRDefault="00977765" w:rsidP="00977765">
      <w:pPr>
        <w:jc w:val="center"/>
      </w:pPr>
      <w:r>
        <w:rPr>
          <w:noProof/>
          <w:lang w:eastAsia="it-IT"/>
        </w:rPr>
        <w:drawing>
          <wp:inline distT="0" distB="0" distL="0" distR="0" wp14:anchorId="180BA4B2" wp14:editId="2608B88E">
            <wp:extent cx="3390476" cy="5485714"/>
            <wp:effectExtent l="0" t="0" r="635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476" cy="5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765" w:rsidRDefault="00977765" w:rsidP="00977765">
      <w:pPr>
        <w:jc w:val="center"/>
      </w:pPr>
    </w:p>
    <w:p w:rsidR="00977765" w:rsidRPr="00977765" w:rsidRDefault="00977765" w:rsidP="00977765">
      <w:pPr>
        <w:jc w:val="both"/>
        <w:rPr>
          <w:sz w:val="28"/>
          <w:szCs w:val="28"/>
        </w:rPr>
      </w:pPr>
      <w:r>
        <w:rPr>
          <w:sz w:val="28"/>
          <w:szCs w:val="28"/>
        </w:rPr>
        <w:t>Riv. Congr., fasc. 2, 1924, A(ngelo) S(toppiglia)</w:t>
      </w:r>
      <w:bookmarkStart w:id="0" w:name="_GoBack"/>
      <w:bookmarkEnd w:id="0"/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Un nuovo altare a S. Girolamo Miani, </w:t>
      </w:r>
      <w:r w:rsidRPr="00977765">
        <w:rPr>
          <w:sz w:val="28"/>
          <w:szCs w:val="28"/>
        </w:rPr>
        <w:t>pag.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42-43</w:t>
      </w:r>
    </w:p>
    <w:sectPr w:rsidR="00977765" w:rsidRPr="009777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65"/>
    <w:rsid w:val="00977765"/>
    <w:rsid w:val="00D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2018-01-09T20:27:00Z</dcterms:created>
  <dcterms:modified xsi:type="dcterms:W3CDTF">2018-01-09T20:30:00Z</dcterms:modified>
</cp:coreProperties>
</file>