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E1" w:rsidRDefault="007762EC" w:rsidP="007762EC">
      <w:pPr>
        <w:jc w:val="center"/>
      </w:pPr>
      <w:bookmarkStart w:id="0" w:name="_GoBack"/>
      <w:r w:rsidRPr="007762EC">
        <w:drawing>
          <wp:inline distT="0" distB="0" distL="0" distR="0">
            <wp:extent cx="5699931" cy="4016326"/>
            <wp:effectExtent l="0" t="0" r="0" b="3810"/>
            <wp:docPr id="1" name="Immagine 1" descr="http://iconografiasgm.altervista.org/galleria/immage/0324_Caimot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onografiasgm.altervista.org/galleria/immage/0324_Caimott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262" cy="401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62EC" w:rsidRDefault="007762EC" w:rsidP="007762EC">
      <w:pPr>
        <w:jc w:val="center"/>
      </w:pPr>
      <w:r>
        <w:t>Giandomenico Tiepolo, Padova, Duomo, sacrestia dei Canonici, dal 2008 Museo Diocesano</w:t>
      </w:r>
    </w:p>
    <w:sectPr w:rsidR="007762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EC"/>
    <w:rsid w:val="007762EC"/>
    <w:rsid w:val="00E1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6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6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2019-03-13T22:04:00Z</dcterms:created>
  <dcterms:modified xsi:type="dcterms:W3CDTF">2019-03-13T22:10:00Z</dcterms:modified>
</cp:coreProperties>
</file>