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5E" w:rsidRDefault="00580364">
      <w:r>
        <w:t>Riv. Congr. fasc. 53, P. Francesco Santini, pag. 326-333</w:t>
      </w:r>
      <w:bookmarkStart w:id="0" w:name="_GoBack"/>
      <w:bookmarkEnd w:id="0"/>
    </w:p>
    <w:p w:rsidR="00580364" w:rsidRDefault="00580364">
      <w:r>
        <w:rPr>
          <w:noProof/>
          <w:lang w:eastAsia="it-IT"/>
        </w:rPr>
        <w:drawing>
          <wp:inline distT="0" distB="0" distL="0" distR="0" wp14:anchorId="5388429A" wp14:editId="2D6FF366">
            <wp:extent cx="3245017" cy="37212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5017" cy="3721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364"/>
    <w:rsid w:val="001F0E5E"/>
    <w:rsid w:val="0058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2018-01-17T07:39:00Z</dcterms:created>
  <dcterms:modified xsi:type="dcterms:W3CDTF">2018-01-17T07:42:00Z</dcterms:modified>
</cp:coreProperties>
</file>